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98"/>
        <w:jc w:val="center"/>
        <w:rPr/>
      </w:pPr>
      <w:r>
        <w:rPr/>
        <w:drawing>
          <wp:inline distT="0" distB="0" distL="0" distR="0">
            <wp:extent cx="3384550" cy="112903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  <w:t>Departamento de Regulação Estadual</w:t>
      </w:r>
    </w:p>
    <w:p>
      <w:pPr>
        <w:pStyle w:val="Standard"/>
        <w:jc w:val="center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bCs/>
          <w:sz w:val="20"/>
          <w:szCs w:val="20"/>
        </w:rPr>
        <w:t>Divisão de Transplantes</w:t>
      </w:r>
    </w:p>
    <w:p>
      <w:pPr>
        <w:pStyle w:val="Standard"/>
        <w:jc w:val="center"/>
        <w:rPr>
          <w:rFonts w:ascii="Arial" w:hAnsi="Arial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REQUERIMENTO PARA REALIZAR AUTORIZAÇÃO/RENOVAÇÃO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BANCO DE TECIDOS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1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40"/>
        <w:gridCol w:w="8109"/>
      </w:tblGrid>
      <w:tr>
        <w:trPr/>
        <w:tc>
          <w:tcPr>
            <w:tcW w:w="204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Estabelecimento:</w:t>
            </w:r>
          </w:p>
        </w:tc>
        <w:tc>
          <w:tcPr>
            <w:tcW w:w="810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1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21"/>
        <w:gridCol w:w="332"/>
        <w:gridCol w:w="321"/>
        <w:gridCol w:w="342"/>
        <w:gridCol w:w="332"/>
        <w:gridCol w:w="332"/>
        <w:gridCol w:w="332"/>
        <w:gridCol w:w="333"/>
        <w:gridCol w:w="333"/>
        <w:gridCol w:w="333"/>
        <w:gridCol w:w="338"/>
        <w:gridCol w:w="343"/>
        <w:gridCol w:w="337"/>
        <w:gridCol w:w="333"/>
        <w:gridCol w:w="313"/>
        <w:gridCol w:w="333"/>
        <w:gridCol w:w="333"/>
        <w:gridCol w:w="199"/>
        <w:gridCol w:w="2078"/>
        <w:gridCol w:w="351"/>
        <w:gridCol w:w="533"/>
        <w:gridCol w:w="347"/>
        <w:gridCol w:w="499"/>
      </w:tblGrid>
      <w:tr>
        <w:trPr/>
        <w:tc>
          <w:tcPr>
            <w:tcW w:w="821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CNPJ: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78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Conveniado ao SUS: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2"/>
        <w:gridCol w:w="6574"/>
        <w:gridCol w:w="184"/>
        <w:gridCol w:w="360"/>
        <w:gridCol w:w="900"/>
      </w:tblGrid>
      <w:tr>
        <w:trPr/>
        <w:tc>
          <w:tcPr>
            <w:tcW w:w="105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Endereço:</w:t>
            </w:r>
          </w:p>
        </w:tc>
        <w:tc>
          <w:tcPr>
            <w:tcW w:w="657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Nº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1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6"/>
        <w:gridCol w:w="2154"/>
        <w:gridCol w:w="788"/>
        <w:gridCol w:w="3055"/>
        <w:gridCol w:w="444"/>
        <w:gridCol w:w="400"/>
        <w:gridCol w:w="563"/>
        <w:gridCol w:w="221"/>
        <w:gridCol w:w="226"/>
        <w:gridCol w:w="224"/>
        <w:gridCol w:w="225"/>
        <w:gridCol w:w="224"/>
        <w:gridCol w:w="224"/>
        <w:gridCol w:w="224"/>
        <w:gridCol w:w="222"/>
        <w:gridCol w:w="207"/>
      </w:tblGrid>
      <w:tr>
        <w:trPr/>
        <w:tc>
          <w:tcPr>
            <w:tcW w:w="77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Bairro: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88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Cidade</w:t>
            </w:r>
          </w:p>
        </w:tc>
        <w:tc>
          <w:tcPr>
            <w:tcW w:w="305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UF</w:t>
            </w: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56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CEP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10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95"/>
        <w:gridCol w:w="2154"/>
        <w:gridCol w:w="541"/>
        <w:gridCol w:w="2160"/>
        <w:gridCol w:w="764"/>
        <w:gridCol w:w="3693"/>
      </w:tblGrid>
      <w:tr>
        <w:trPr/>
        <w:tc>
          <w:tcPr>
            <w:tcW w:w="795" w:type="dxa"/>
            <w:tcBorders/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>Fone: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541" w:type="dxa"/>
            <w:tcBorders/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64" w:type="dxa"/>
            <w:tcBorders/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693" w:type="dxa"/>
            <w:tcBorders>
              <w:bottom w:val="single" w:sz="4" w:space="0" w:color="000000"/>
            </w:tcBorders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E-mail:</w:t>
            </w:r>
          </w:p>
        </w:tc>
      </w:tr>
    </w:tbl>
    <w:p>
      <w:pPr>
        <w:pStyle w:val="Textosimples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98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9"/>
        <w:gridCol w:w="6120"/>
        <w:gridCol w:w="635"/>
        <w:gridCol w:w="1666"/>
      </w:tblGrid>
      <w:tr>
        <w:trPr/>
        <w:tc>
          <w:tcPr>
            <w:tcW w:w="1559" w:type="dxa"/>
            <w:tcBorders/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Diretor Técnico:</w:t>
            </w:r>
          </w:p>
        </w:tc>
        <w:tc>
          <w:tcPr>
            <w:tcW w:w="6120" w:type="dxa"/>
            <w:tcBorders>
              <w:bottom w:val="single" w:sz="4" w:space="0" w:color="000000"/>
            </w:tcBorders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5" w:type="dxa"/>
            <w:tcBorders/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CRM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97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85"/>
        <w:gridCol w:w="5293"/>
        <w:gridCol w:w="635"/>
        <w:gridCol w:w="1661"/>
      </w:tblGrid>
      <w:tr>
        <w:trPr/>
        <w:tc>
          <w:tcPr>
            <w:tcW w:w="2385" w:type="dxa"/>
            <w:tcBorders/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Resp.Técnico Banco</w:t>
            </w:r>
          </w:p>
        </w:tc>
        <w:tc>
          <w:tcPr>
            <w:tcW w:w="5293" w:type="dxa"/>
            <w:tcBorders>
              <w:bottom w:val="single" w:sz="4" w:space="0" w:color="000000"/>
            </w:tcBorders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5" w:type="dxa"/>
            <w:tcBorders/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CRM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>
            <w:pPr>
              <w:pStyle w:val="Textosimples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1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344"/>
        <w:gridCol w:w="1805"/>
      </w:tblGrid>
      <w:tr>
        <w:trPr/>
        <w:tc>
          <w:tcPr>
            <w:tcW w:w="834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Nome do estabelecimento ao qual o banco encontra-se vinculado –                     CNES:</w:t>
            </w:r>
          </w:p>
        </w:tc>
        <w:tc>
          <w:tcPr>
            <w:tcW w:w="180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8344" w:type="dxa"/>
            <w:tcBorders/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SNT: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ENCAMINHAR DOCUMENTOS EM PDF DISTINTOS, PARA O E-MAIL:</w:t>
      </w:r>
    </w:p>
    <w:p>
      <w:pPr>
        <w:pStyle w:val="Normal"/>
        <w:rPr/>
      </w:pPr>
      <w:r>
        <w:rPr>
          <w:rFonts w:ascii="Arial" w:hAnsi="Arial"/>
          <w:b/>
          <w:bCs/>
          <w:sz w:val="20"/>
          <w:szCs w:val="20"/>
        </w:rPr>
        <w:t xml:space="preserve"> </w:t>
      </w:r>
      <w:hyperlink r:id="rId3">
        <w:r>
          <w:rPr>
            <w:rStyle w:val="LinkdaInternet"/>
            <w:rFonts w:ascii="Arial" w:hAnsi="Arial"/>
            <w:b/>
            <w:bCs/>
            <w:sz w:val="20"/>
            <w:szCs w:val="20"/>
          </w:rPr>
          <w:t>credenciamentos-ctx@saude.rs.gov.br</w:t>
        </w:r>
      </w:hyperlink>
    </w:p>
    <w:tbl>
      <w:tblPr>
        <w:tblW w:w="9585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8961"/>
      </w:tblGrid>
      <w:tr>
        <w:trPr/>
        <w:tc>
          <w:tcPr>
            <w:tcW w:w="6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1.Descrição dos procedimentos para distribuição/disponibilização/acondicionamento/transporte dos tecidos/requisição para uso clínico/pesquisa/instruções para o usuário do tecido/rótulo da embalagem do tecido com código alfanumérico.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rpodotexto"/>
              <w:widowControl w:val="false"/>
              <w:spacing w:before="0" w:after="1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2.Formul</w:t>
            </w:r>
            <w:r>
              <w:rPr>
                <w:rFonts w:ascii="Arial" w:hAnsi="Arial"/>
                <w:sz w:val="20"/>
                <w:szCs w:val="20"/>
              </w:rPr>
              <w:t>ários de achados que afetem a retirada/captação.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3.Descri</w:t>
            </w:r>
            <w:r>
              <w:rPr>
                <w:rFonts w:ascii="Arial" w:hAnsi="Arial"/>
                <w:sz w:val="20"/>
                <w:szCs w:val="20"/>
              </w:rPr>
              <w:t>ção dos critérios de controle de qualidade e condutas frentes a não-conformidades para procedimentos, insumos e reagentes.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4.Descrição dos critérios de controle de qualidade e condutas frentes a não-conformidades para materiais liberados.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5.Descrição dos critérios de controle de qualidade e condutas frentes a não-conformidades para as rotinas de inspeção, manutenção preventiva e calibração relacionada a equipamentos, biossegurança e ambientes, e seus devidos registros.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6.descrição dos critérios de controle de qualidade e condutas frentes a não-conformidades para as rotinas de inspeção, manutenção preventiva e calibração relacionada a equipamentos, biossegurança e ambientes, e seus devidos registros.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7.Descrição dos procedimentos de arquivamento dos prontuários de doadores.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8.Descrição dos procedimentos de distribuição de tecidos para transplante e pesquisa.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9.Procedimentos de registros de falhas e não-conformidades.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10.Planilha contendo o número de captações realizadas durante os anos de vigência da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autorização/renovação, assinada pelo RT.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11.Planilha contendo o número de captações realizadas durante os anos de vigência da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autorização/renovação, assinada pelo RT.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814" w:hRule="atLeast"/>
        </w:trPr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12.Planilha contendo o número dos descartes realizadas durante os anos de vigência da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autorização/renovação, assinado pelo RT.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13.Instalações, equipamentos e aparelhos localizados dentro da área física do banco de uso próprio e exclusivo para fins de processamento, armazenamento e distribuição de tecidos humanos.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14.lista dos Municípios que o Banco realiza a captação dos tecidos oculares.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15.Salas contíguas permitindo o fluxo necessário para assegurar a qualidade dos tecidos em todas as fases do processo.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16.Sala de recepção de tecidos com lavatório para higienização das mãos, com torneiras ou comandos que dispensem o contato das mãos quando do fechamento da água, provisão de sabão líquido detergente, além de recursos para secagem das mãos.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17.Antecâmara para barreira à sala de processamento do banco, assegurando o acesso dos profissionais que deverão portar sobre as suas roupas aventais de uso exclusivo nesta área.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18.Lavabo cirúrgico contíguo à sala de processamento.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19.Área de pré-paramentação estéril para manuseio dos tecidos.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20.Sala de processamento construída de acordo com os padrões de acabamento exigidos para áreas críticas.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21.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Caixas de passagem ou guichê para a introdu</w:t>
            </w:r>
            <w:r>
              <w:rPr>
                <w:rFonts w:ascii="Arial" w:hAnsi="Arial"/>
                <w:sz w:val="20"/>
                <w:szCs w:val="20"/>
              </w:rPr>
              <w:t>ção e retirada de materiais, insumos e tecidos da sala de processamento.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22.Área para avaliação dos tecidos provida de lâmpada de fenda, com magnificação de no mínimo 40x.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23.Área para processamento dos tecidos com qualidade de ar em classificação ISO 5 (classe 100), garantida através de cabine de segurança biológica classe II tipo a, com fluxo unidirecional, ou pela classificação ISO 5 da sala de processamento e armazenamento como um todo.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24.Área de armazenamento dos tecidos provida de 2 (dois) aparelhos de refrigeração de uso exclusivo, destinados a tecidos liberados, não liberados e meios de preservação, com as especificações de manutenção de temperatura de 2 a 8°c, com conferência e registro de temperatura, em intervalo máximo de 12 horas, e suporte para falha elétrica.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25.Recipientes térmicos adequados para o transporte dos tecidos, validados para que a temperatura e o tempo necessários sejam mantidos durante o transporte.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26.Sistema de suporte para garantir o funcionamento dos equipamentos elétricos essenciais para a manutenção da qualidade dos tecidos em processamento ou armazenados, conforme norma sanitária vigente (normas para estabelecimentos de assistência à saúde – ANVISA).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27.Documento interno de constituição do banco.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28.Embalagens homologadas, apirogênicas e atóxicas para os tecidos, capazes de suportar os processos a eles submetidos e que garantam a qualidade física e a esterilidade dos materiais e que sejam registradas ou autorizadas pela ANVISA.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29.Possui funcionamento 24 horas do dia para atendimento às demandas?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30.Declaração de permanência de localização, condições de instalações físicas, equipamentos e instrumentais conforme autorização original.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31.Licença/alvará de funcionamento emitido pela Vigilância Sanitária – VISA.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32.Realiza controle de garantia dos procedimentos, equipamentos, reagentes e correlatos?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Sim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 ) Não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33. Fotos de todas as áreas do BTOC.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34.Relatório de vistoria realizada pela CET, contemplando as áreas físicas e estruturais do banco de tecidos de acordo com a RDC nº 55, de 11 de dezembro de 2015.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35.Informar se o banco conta com profissional para as tarefas administrativas?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36.Nome do responsável técnico (RT)/Especialização/CRM: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Certidão de Infração Ética emitida pelo CRM, validade 60 dias.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36.Nome do responsável técnico (RT) substituto/Especialização/CRM.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Certidão de Infração Ética emitida pelo CRM, validade 60 dias.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37.Nome do médico da equipe técnica de retirada de tecidos: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Certidão de Infração Ética emitida pelo CRM, validade 60 dias.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38. Nome do médico da equipe técnica de atividades internas: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Certidão de Infração Ética emitida pelo CRM, validade 60 dias.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39.Manual Técnico Operacional (MTO).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40. Doação – impressos: formulários de contato com a OPO/formulário para entrevista/ coleta de informações do doador, avaliação clínica/ pesquisa do prontuário médico/ exame físico do doador/registros de captação, contato inicial, aceite, recusa, retirada, e identificação dos doadores/formulário para triagem sorológicas realizadas.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41.Processamento – impressos: formulários de fluxo de pessoas, tecidos e materiais dentro das áreas do banco/formulários com descrição da técnica e dos procedimentos de processamento utilizados/ procedimentos de quarentena, controle microbiológico dos tecidos e descarte.</w:t>
            </w:r>
          </w:p>
        </w:tc>
      </w:tr>
      <w:tr>
        <w:trPr/>
        <w:tc>
          <w:tcPr>
            <w:tcW w:w="623" w:type="dxa"/>
            <w:tcBorders>
              <w:left w:val="doub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Textosimples"/>
        <w:spacing w:lineRule="auto" w:line="36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4"/>
        </w:rPr>
        <w:t>(Preenchimento obrigatório de acordo com a Portaria GM/MS nº 4 de 27 setembro de 2017)</w:t>
      </w:r>
    </w:p>
    <w:tbl>
      <w:tblPr>
        <w:tblW w:w="1007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"/>
        <w:gridCol w:w="1264"/>
        <w:gridCol w:w="8432"/>
        <w:gridCol w:w="199"/>
      </w:tblGrid>
      <w:tr>
        <w:trPr/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Observações:</w:t>
            </w:r>
          </w:p>
        </w:tc>
        <w:tc>
          <w:tcPr>
            <w:tcW w:w="8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8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69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9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80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9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6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1"/>
        <w:gridCol w:w="1800"/>
        <w:gridCol w:w="3309"/>
        <w:gridCol w:w="162"/>
        <w:gridCol w:w="737"/>
        <w:gridCol w:w="180"/>
        <w:gridCol w:w="1056"/>
        <w:gridCol w:w="196"/>
        <w:gridCol w:w="1079"/>
        <w:gridCol w:w="193"/>
        <w:gridCol w:w="1021"/>
        <w:gridCol w:w="197"/>
      </w:tblGrid>
      <w:tr>
        <w:trPr/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Parecer conclusivo:</w:t>
            </w:r>
          </w:p>
        </w:tc>
        <w:tc>
          <w:tcPr>
            <w:tcW w:w="793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8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733" w:type="dxa"/>
            <w:gridSpan w:val="10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8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733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7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9733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29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6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659" w:type="dxa"/>
            <w:gridSpan w:val="8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529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Nome Coordenação Estadual</w:t>
            </w:r>
          </w:p>
        </w:tc>
        <w:tc>
          <w:tcPr>
            <w:tcW w:w="16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659" w:type="dxa"/>
            <w:gridSpan w:val="8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Assinatura</w:t>
            </w:r>
          </w:p>
        </w:tc>
      </w:tr>
      <w:tr>
        <w:trPr/>
        <w:tc>
          <w:tcPr>
            <w:tcW w:w="6189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6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/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193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/</w:t>
            </w:r>
          </w:p>
        </w:tc>
        <w:tc>
          <w:tcPr>
            <w:tcW w:w="121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6189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local</w:t>
            </w:r>
          </w:p>
        </w:tc>
        <w:tc>
          <w:tcPr>
            <w:tcW w:w="1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3742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Data</w:t>
            </w:r>
          </w:p>
        </w:tc>
      </w:tr>
    </w:tbl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/>
      </w:r>
    </w:p>
    <w:sectPr>
      <w:footerReference w:type="default" r:id="rId4"/>
      <w:type w:val="nextPage"/>
      <w:pgSz w:w="11906" w:h="16838"/>
      <w:pgMar w:left="1418" w:right="851" w:gutter="0" w:header="0" w:top="567" w:footer="567" w:bottom="62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bCs/>
      <w:i/>
      <w:i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668fa"/>
    <w:rPr>
      <w:rFonts w:ascii="Segoe UI" w:hAnsi="Segoe UI"/>
      <w:sz w:val="18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c52ee"/>
    <w:rPr>
      <w:b/>
      <w:bCs/>
      <w:sz w:val="20"/>
      <w:szCs w:val="18"/>
    </w:rPr>
  </w:style>
  <w:style w:type="character" w:styleId="CabealhoChar" w:customStyle="1">
    <w:name w:val="Cabeçalho Char"/>
    <w:basedOn w:val="DefaultParagraphFont"/>
    <w:uiPriority w:val="99"/>
    <w:qFormat/>
    <w:rsid w:val="001f55c4"/>
    <w:rPr>
      <w:szCs w:val="21"/>
    </w:rPr>
  </w:style>
  <w:style w:type="character" w:styleId="RodapChar" w:customStyle="1">
    <w:name w:val="Rodapé Char"/>
    <w:basedOn w:val="DefaultParagraphFont"/>
    <w:uiPriority w:val="99"/>
    <w:qFormat/>
    <w:rsid w:val="008f0ed5"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link w:val="RodapChar"/>
    <w:uiPriority w:val="99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1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668fa"/>
    <w:pPr/>
    <w:rPr>
      <w:rFonts w:ascii="Segoe UI" w:hAnsi="Segoe UI"/>
      <w:sz w:val="18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c52ee"/>
    <w:pPr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f55c4"/>
    <w:pPr>
      <w:tabs>
        <w:tab w:val="clear" w:pos="720"/>
        <w:tab w:val="center" w:pos="4252" w:leader="none"/>
        <w:tab w:val="right" w:pos="8504" w:leader="none"/>
      </w:tabs>
    </w:pPr>
    <w:rPr>
      <w:szCs w:val="21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osimples">
    <w:name w:val="Texto simples"/>
    <w:basedOn w:val="Normal"/>
    <w:qFormat/>
    <w:pPr/>
    <w:rPr>
      <w:rFonts w:ascii="Courier New" w:hAnsi="Courier New" w:cs="Courier New"/>
      <w:sz w:val="20"/>
      <w:szCs w:val="20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redenciamentos-ctx@saude.rs.gov.br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8411-7C78-4C20-95F8-07CA8F4E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Application>LibreOffice/7.4.1.2$Windows_X86_64 LibreOffice_project/3c58a8f3a960df8bc8fd77b461821e42c061c5f0</Application>
  <AppVersion>15.0000</AppVersion>
  <Pages>7</Pages>
  <Words>986</Words>
  <Characters>5795</Characters>
  <CharactersWithSpaces>6726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2024-01-30T13:16:00Z</dcterms:created>
  <dc:creator>Jonas</dc:creator>
  <dc:description/>
  <dc:language>pt-BR</dc:language>
  <cp:lastModifiedBy/>
  <cp:lastPrinted>2024-11-11T14:57:26Z</cp:lastPrinted>
  <dcterms:modified xsi:type="dcterms:W3CDTF">2025-02-14T14:54:43Z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